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>
        <w:rPr>
          <w:rFonts w:ascii="宋体" w:hAnsi="宋体" w:cs="宋体"/>
          <w:b/>
          <w:kern w:val="0"/>
          <w:sz w:val="24"/>
        </w:rPr>
        <w:t>新建房屋建筑和市政基础设施工程监理人员最低配备参考标准</w:t>
      </w:r>
    </w:p>
    <w:tbl>
      <w:tblPr>
        <w:tblStyle w:val="3"/>
        <w:tblpPr w:leftFromText="180" w:rightFromText="180" w:vertAnchor="text" w:horzAnchor="page" w:tblpXSpec="center" w:tblpY="582"/>
        <w:tblOverlap w:val="never"/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3402"/>
        <w:gridCol w:w="1276"/>
        <w:gridCol w:w="30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工程类别</w:t>
            </w:r>
          </w:p>
        </w:tc>
        <w:tc>
          <w:tcPr>
            <w:tcW w:w="3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建设规模（平方米）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或工程投资（元）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监理人员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最低人数</w:t>
            </w:r>
          </w:p>
        </w:tc>
        <w:tc>
          <w:tcPr>
            <w:tcW w:w="3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公共建筑工程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建设规模＜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万≤建设规模＜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万≤建设规模＜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5~8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万平方米对应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人，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万平方米对应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8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万≤建设规模＜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8~12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万平方米对应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8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人，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万平方米对应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建设规模≥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每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万平方米建筑面积不得少于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住宅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建设规模＜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万≤建设规模＜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5~15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万平方米对应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人，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万平方米对应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人，每增加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万平方米增加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建设规模≥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人以上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每增加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万平方米增加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市政公用工程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投资＜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3000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3000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万≤投资＜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3~10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投资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3000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万元对应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人，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 xml:space="preserve"> 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亿元对应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人，每增加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3000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万元增加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投资≥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人以上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每增加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5000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万元增加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  <w:jc w:val="center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轨道交通工程</w:t>
            </w:r>
          </w:p>
        </w:tc>
        <w:tc>
          <w:tcPr>
            <w:tcW w:w="7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按照《轨道交通施工现场安全质量主要管理人员配备的指导意见》</w:t>
            </w:r>
          </w:p>
          <w:p>
            <w:pPr>
              <w:widowControl/>
              <w:snapToGrid w:val="0"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（京建发〔2014〕72 号）相关要求执行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2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06F2F"/>
    <w:rsid w:val="6B30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2019-05-09T11:26:00Z</dcterms:created>
  <dc:creator>01088</dc:creator>
  <cp:lastModifiedBy>01088</cp:lastModifiedBy>
  <dcterms:modified xsi:type="dcterms:W3CDTF">2019-05-09T11:27:35Z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