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0" w:lineRule="atLeast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94949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0" w:lineRule="atLeast"/>
        <w:ind w:left="0" w:right="0" w:firstLine="720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6"/>
          <w:szCs w:val="36"/>
        </w:rPr>
        <w:t>批准发布的北京市地方标准目录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0" w:lineRule="atLeast"/>
        <w:ind w:left="0" w:right="0" w:firstLine="720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6"/>
          <w:szCs w:val="36"/>
        </w:rPr>
        <w:t>2023年标字第18号（总第336号）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0" w:lineRule="atLeast"/>
        <w:ind w:left="0" w:right="0" w:firstLine="720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6"/>
          <w:szCs w:val="36"/>
        </w:rPr>
      </w:pPr>
      <w:bookmarkStart w:id="0" w:name="_GoBack"/>
      <w:bookmarkEnd w:id="0"/>
    </w:p>
    <w:tbl>
      <w:tblPr>
        <w:tblStyle w:val="4"/>
        <w:tblW w:w="9800" w:type="dxa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00"/>
        <w:gridCol w:w="3605"/>
        <w:gridCol w:w="1975"/>
        <w:gridCol w:w="1317"/>
        <w:gridCol w:w="10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序号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标准号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标准名称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被修订标准号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发布日期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实施日期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381-2023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既有居住建筑节能改造技术规程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 381-2016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383-2023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建筑工程施工现场安全资料管理规程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 383-2017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3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611-2023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施工现场塔式起重机检验技术规程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 611-2008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4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636-2023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施工现场施工升降机检验技术规程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636-2009、DB11/T 807-2011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5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638-2023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房屋修缮工程工程量计算标准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638-2016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6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696-2023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预拌砂浆应用技术规程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696-2016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7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698-2023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清水混凝土预制构件生产与质量控制规程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698-2009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1200-2023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超长大体积混凝土结构跳仓法技术规程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1200-2015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9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1365-2023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公共租赁住房建设标准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1365-2016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10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1413-2023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民用建筑能耗标准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1413-2017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11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1832.6-2023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建筑工程施工工艺规程 第6部分：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木结构工程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12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1832.22-2023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建筑工程施工工艺规程 第22部分：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装配式装修工程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13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2204-2023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房屋建筑和市政基础设施电气工程施工质量验收标准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14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2205-2023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建筑垃圾再生回填材料应用技术规程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15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2206-2023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建筑垃圾再生墙体材料应用技术规程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16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2207-2023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市政桥梁工程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数字化建造标准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17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DB11/T 2208-2023</w:t>
            </w:r>
          </w:p>
        </w:tc>
        <w:tc>
          <w:tcPr>
            <w:tcW w:w="360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附着式升降脚手架安全技术标准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2023-12-27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</w:rPr>
              <w:t>2024-4-1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3C66"/>
    <w:rsid w:val="696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2024-02-26T06:00:00Z</dcterms:created>
  <dc:creator>sqhl18</dc:creator>
  <cp:lastModifiedBy>sqhl18</cp:lastModifiedBy>
  <dcterms:modified xsi:type="dcterms:W3CDTF">2024-02-26T06:04:08Z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